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课程安排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6"/>
          <w:szCs w:val="26"/>
          <w:shd w:val="clear" w:color="auto" w:fill="FFFFFF"/>
          <w:lang w:bidi="ar"/>
        </w:rPr>
        <w:t>（2021年深化国企改革，高质量推进产业布局优化和结构调整培训班）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697"/>
        <w:gridCol w:w="1531"/>
        <w:gridCol w:w="5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课程模块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9月24日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（周五）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  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现场报到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9月25日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（周六）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  班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开班式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政策解读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《中央企业深入实施国企改革三年行动》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下午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政策解读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《强化战略规划引领 优化调整布局结构》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班级团建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破冰活动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9月26日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（周日）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前沿分析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《“十四五”国家产业布局形势及分析》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前沿分析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《“十四五”国家区域政策和区域经济发展》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自  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9月27日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（周一）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政策解读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《“十四五”规划政策解读》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下午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主题分享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央企案例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自  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9月28日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（周二）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前沿分析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《“十四五”国家科技发展规划》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下午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主题分享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央企案例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  业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总结并颁发结业证书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22"/>
          <w:lang w:bidi="ar"/>
        </w:rPr>
        <w:t>备注：培训时间为上午9：00—12：00，下午14：00—16：30，晚上18：00—20：30。</w:t>
      </w:r>
    </w:p>
    <w:p>
      <w:pPr>
        <w:spacing w:line="600" w:lineRule="exact"/>
        <w:rPr>
          <w:rFonts w:ascii="宋体" w:hAnsi="宋体" w:cs="宋体"/>
          <w:b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D57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zhangqi</dc:creator>
  <cp:lastModifiedBy>zhangqi</cp:lastModifiedBy>
  <dcterms:modified xsi:type="dcterms:W3CDTF">2021-07-28T11:31:09Z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