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rPr>
        <w:t>附件</w:t>
      </w:r>
      <w:bookmarkStart w:id="0" w:name="_GoBack"/>
      <w:bookmarkEnd w:id="0"/>
    </w:p>
    <w:p>
      <w:pPr>
        <w:spacing w:line="600" w:lineRule="exact"/>
        <w:rPr>
          <w:rFonts w:hint="eastAsia" w:ascii="黑体" w:hAnsi="黑体" w:eastAsia="黑体" w:cs="黑体"/>
          <w:bCs/>
          <w:sz w:val="32"/>
          <w:szCs w:val="32"/>
          <w:u w:val="none"/>
          <w:lang w:val="en-US" w:eastAsia="zh-CN"/>
        </w:rPr>
      </w:pPr>
    </w:p>
    <w:p>
      <w:pPr>
        <w:spacing w:line="600" w:lineRule="exact"/>
        <w:jc w:val="center"/>
        <w:outlineLvl w:val="0"/>
        <w:rPr>
          <w:rFonts w:ascii="宋体" w:hAnsi="宋体" w:eastAsia="宋体" w:cs="宋体"/>
          <w:b/>
          <w:sz w:val="36"/>
          <w:szCs w:val="36"/>
          <w:u w:val="none"/>
        </w:rPr>
      </w:pPr>
      <w:r>
        <w:rPr>
          <w:rFonts w:hint="eastAsia" w:ascii="宋体" w:hAnsi="宋体" w:eastAsia="宋体" w:cs="宋体"/>
          <w:b/>
          <w:sz w:val="36"/>
          <w:szCs w:val="36"/>
          <w:u w:val="none"/>
          <w:lang w:eastAsia="zh-CN"/>
        </w:rPr>
        <w:t>网络</w:t>
      </w:r>
      <w:r>
        <w:rPr>
          <w:rFonts w:hint="eastAsia" w:ascii="宋体" w:hAnsi="宋体" w:eastAsia="宋体" w:cs="宋体"/>
          <w:b/>
          <w:sz w:val="36"/>
          <w:szCs w:val="36"/>
          <w:u w:val="none"/>
        </w:rPr>
        <w:t>培训班报名操作流程</w:t>
      </w:r>
    </w:p>
    <w:p>
      <w:pPr>
        <w:wordWrap w:val="0"/>
        <w:spacing w:line="600" w:lineRule="exact"/>
        <w:rPr>
          <w:rFonts w:ascii="仿宋" w:hAnsi="仿宋" w:eastAsia="仿宋"/>
          <w:sz w:val="30"/>
          <w:szCs w:val="30"/>
          <w:u w:val="none"/>
        </w:rPr>
      </w:pP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rPr>
        <w:t>1.注册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访问网络学习平台（https://</w:t>
      </w:r>
      <w:r>
        <w:rPr>
          <w:rFonts w:hint="eastAsia" w:ascii="仿宋_GB2312" w:hAnsi="仿宋_GB2312" w:eastAsia="仿宋_GB2312" w:cs="仿宋_GB2312"/>
          <w:sz w:val="32"/>
          <w:szCs w:val="32"/>
          <w:u w:val="none"/>
          <w:lang w:val="en-US" w:eastAsia="zh-CN"/>
        </w:rPr>
        <w:t>elearning</w:t>
      </w:r>
      <w:r>
        <w:rPr>
          <w:rFonts w:hint="eastAsia" w:ascii="仿宋_GB2312" w:hAnsi="仿宋_GB2312" w:eastAsia="仿宋_GB2312" w:cs="仿宋_GB2312"/>
          <w:sz w:val="32"/>
          <w:szCs w:val="32"/>
          <w:u w:val="none"/>
        </w:rPr>
        <w:t>.tcsasac.com/），点击</w:t>
      </w:r>
      <w:r>
        <w:rPr>
          <w:rFonts w:hint="eastAsia" w:ascii="仿宋_GB2312" w:hAnsi="仿宋_GB2312" w:eastAsia="仿宋_GB2312" w:cs="仿宋_GB2312"/>
          <w:sz w:val="32"/>
          <w:szCs w:val="32"/>
          <w:u w:val="none"/>
          <w:lang w:val="en-US" w:eastAsia="zh-CN"/>
        </w:rPr>
        <w:t>免密登录</w:t>
      </w:r>
      <w:r>
        <w:rPr>
          <w:rFonts w:hint="eastAsia" w:ascii="仿宋_GB2312" w:hAnsi="仿宋_GB2312" w:eastAsia="仿宋_GB2312" w:cs="仿宋_GB2312"/>
          <w:sz w:val="32"/>
          <w:szCs w:val="32"/>
          <w:u w:val="none"/>
        </w:rPr>
        <w:t>，填写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手机客户端：安装“国</w:t>
      </w:r>
      <w:r>
        <w:rPr>
          <w:rFonts w:hint="eastAsia" w:ascii="仿宋_GB2312" w:hAnsi="仿宋_GB2312" w:eastAsia="仿宋_GB2312" w:cs="仿宋_GB2312"/>
          <w:sz w:val="32"/>
          <w:szCs w:val="32"/>
          <w:u w:val="none"/>
          <w:lang w:eastAsia="zh-CN"/>
        </w:rPr>
        <w:t>资e学”</w:t>
      </w:r>
      <w:r>
        <w:rPr>
          <w:rFonts w:hint="eastAsia" w:ascii="仿宋_GB2312" w:hAnsi="仿宋_GB2312" w:eastAsia="仿宋_GB2312" w:cs="仿宋_GB2312"/>
          <w:sz w:val="32"/>
          <w:szCs w:val="32"/>
          <w:u w:val="none"/>
        </w:rPr>
        <w:t>手机客户端，点击“我的</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登录”，填写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wordWrap w:val="0"/>
        <w:spacing w:line="600" w:lineRule="exact"/>
        <w:ind w:firstLine="640" w:firstLineChars="200"/>
        <w:outlineLvl w:val="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2.报名</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点击</w:t>
      </w:r>
      <w:r>
        <w:rPr>
          <w:rFonts w:hint="eastAsia" w:ascii="仿宋_GB2312" w:hAnsi="仿宋_GB2312" w:eastAsia="仿宋_GB2312" w:cs="仿宋_GB2312"/>
          <w:sz w:val="32"/>
          <w:szCs w:val="32"/>
          <w:u w:val="none"/>
          <w:lang w:val="en-US" w:eastAsia="zh-CN"/>
        </w:rPr>
        <w:t>顶部菜单栏培训班</w:t>
      </w:r>
      <w:r>
        <w:rPr>
          <w:rFonts w:hint="eastAsia" w:ascii="仿宋_GB2312" w:hAnsi="仿宋_GB2312" w:eastAsia="仿宋_GB2312" w:cs="仿宋_GB2312"/>
          <w:sz w:val="32"/>
          <w:szCs w:val="32"/>
          <w:u w:val="none"/>
        </w:rPr>
        <w:t>“培训项目</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如实填写报名信息，添加学员名单。</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手机客户端：</w:t>
      </w:r>
      <w:r>
        <w:rPr>
          <w:rFonts w:hint="eastAsia" w:ascii="仿宋_GB2312" w:hAnsi="仿宋_GB2312" w:eastAsia="仿宋_GB2312" w:cs="仿宋_GB2312"/>
          <w:sz w:val="32"/>
          <w:szCs w:val="32"/>
          <w:u w:val="none"/>
        </w:rPr>
        <w:t>点击首页“报名</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如实填写报名信息添加学员名单。</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3.填写开票信息</w:t>
      </w:r>
    </w:p>
    <w:p>
      <w:pPr>
        <w:spacing w:line="600" w:lineRule="exact"/>
        <w:ind w:firstLine="640" w:firstLineChars="20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val="en-US" w:eastAsia="zh-CN"/>
        </w:rPr>
        <w:t>网页版：点击“个人中心-我的订单-培训班名称-立即支付（支付前需完成开票信息确认）-填写开票”，如实填写开票信息，预览发票无误后确认提交。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手机客户端</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增值税发票分为普通发票（简称“普票”）和专用发票（简称“专票”），开具普票需提供抬头、</w:t>
      </w:r>
      <w:r>
        <w:rPr>
          <w:rFonts w:hint="eastAsia" w:ascii="仿宋_GB2312" w:hAnsi="仿宋_GB2312" w:eastAsia="仿宋_GB2312" w:cs="仿宋_GB2312"/>
          <w:sz w:val="32"/>
          <w:szCs w:val="32"/>
          <w:u w:val="none"/>
          <w:lang w:eastAsia="zh-CN"/>
        </w:rPr>
        <w:t>税号及</w:t>
      </w:r>
      <w:r>
        <w:rPr>
          <w:rFonts w:hint="eastAsia" w:ascii="仿宋_GB2312" w:hAnsi="仿宋_GB2312" w:eastAsia="仿宋_GB2312" w:cs="仿宋_GB2312"/>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4.缴费</w:t>
      </w:r>
    </w:p>
    <w:p>
      <w:pPr>
        <w:spacing w:line="600" w:lineRule="exact"/>
        <w:ind w:firstLine="640" w:firstLineChars="200"/>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b w:val="0"/>
          <w:bCs w:val="0"/>
          <w:sz w:val="32"/>
          <w:szCs w:val="32"/>
          <w:u w:val="none"/>
          <w:lang w:val="en-US" w:eastAsia="zh-CN"/>
        </w:rPr>
        <w:t>网页版：点击“个人中心-我的订单-培训班名称-立即支付-阅读缴费须知”，选择支付方式，完成支付。</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000000"/>
          <w:sz w:val="32"/>
          <w:szCs w:val="32"/>
          <w:u w:val="none"/>
        </w:rPr>
        <w:t>手机客户端：</w:t>
      </w:r>
      <w:r>
        <w:rPr>
          <w:rFonts w:hint="eastAsia" w:ascii="仿宋_GB2312" w:hAnsi="仿宋_GB2312" w:eastAsia="仿宋_GB2312" w:cs="仿宋_GB2312"/>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sz w:val="32"/>
          <w:szCs w:val="32"/>
          <w:u w:val="none"/>
          <w:lang w:val="en-US" w:eastAsia="zh-CN"/>
        </w:rPr>
        <w:t>（1）选择“支付宝、微信、云闪付支付”，</w:t>
      </w:r>
      <w:r>
        <w:rPr>
          <w:rFonts w:hint="eastAsia" w:ascii="仿宋_GB2312" w:hAnsi="仿宋_GB2312" w:eastAsia="仿宋_GB2312" w:cs="仿宋_GB2312"/>
          <w:color w:val="000000"/>
          <w:sz w:val="32"/>
          <w:szCs w:val="32"/>
          <w:u w:val="none"/>
          <w:lang w:eastAsia="zh-CN"/>
        </w:rPr>
        <w:t>按页面提示操作即可；</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val="en" w:eastAsia="zh-CN"/>
        </w:rPr>
      </w:pPr>
      <w:r>
        <w:rPr>
          <w:rFonts w:hint="eastAsia" w:ascii="仿宋_GB2312" w:hAnsi="仿宋_GB2312" w:eastAsia="仿宋_GB2312" w:cs="仿宋_GB2312"/>
          <w:b w:val="0"/>
          <w:bCs w:val="0"/>
          <w:sz w:val="32"/>
          <w:szCs w:val="32"/>
          <w:u w:val="none"/>
          <w:lang w:val="en-US" w:eastAsia="zh-CN"/>
        </w:rPr>
        <w:t>（2）选择“转账汇款</w:t>
      </w:r>
      <w:r>
        <w:rPr>
          <w:rFonts w:hint="eastAsia" w:ascii="仿宋_GB2312" w:hAnsi="仿宋_GB2312" w:eastAsia="仿宋_GB2312" w:cs="仿宋_GB2312"/>
          <w:color w:val="000000"/>
          <w:sz w:val="32"/>
          <w:szCs w:val="32"/>
          <w:u w:val="none"/>
          <w:lang w:eastAsia="zh-CN"/>
        </w:rPr>
        <w:t>”，需如实填写</w:t>
      </w:r>
      <w:r>
        <w:rPr>
          <w:rFonts w:hint="eastAsia" w:ascii="仿宋_GB2312" w:hAnsi="仿宋_GB2312" w:eastAsia="仿宋_GB2312" w:cs="仿宋_GB2312"/>
          <w:color w:val="000000"/>
          <w:sz w:val="32"/>
          <w:szCs w:val="32"/>
          <w:u w:val="none"/>
          <w:lang w:val="en-US" w:eastAsia="zh-CN"/>
        </w:rPr>
        <w:t>付款账号、开户名称、开户银行、付款日期、</w:t>
      </w:r>
      <w:r>
        <w:rPr>
          <w:rFonts w:hint="eastAsia" w:ascii="仿宋_GB2312" w:hAnsi="仿宋_GB2312" w:eastAsia="仿宋_GB2312" w:cs="仿宋_GB2312"/>
          <w:color w:val="000000"/>
          <w:sz w:val="32"/>
          <w:szCs w:val="32"/>
          <w:u w:val="none"/>
        </w:rPr>
        <w:t>付款金额、并上传</w:t>
      </w:r>
      <w:r>
        <w:rPr>
          <w:rFonts w:hint="eastAsia" w:ascii="仿宋_GB2312" w:hAnsi="仿宋_GB2312" w:eastAsia="仿宋_GB2312" w:cs="仿宋_GB2312"/>
          <w:color w:val="000000"/>
          <w:sz w:val="32"/>
          <w:szCs w:val="32"/>
          <w:u w:val="none"/>
          <w:lang w:val="en-US" w:eastAsia="zh-CN"/>
        </w:rPr>
        <w:t>汇款</w:t>
      </w:r>
      <w:r>
        <w:rPr>
          <w:rFonts w:hint="eastAsia" w:ascii="仿宋_GB2312" w:hAnsi="仿宋_GB2312" w:eastAsia="仿宋_GB2312" w:cs="仿宋_GB2312"/>
          <w:color w:val="000000"/>
          <w:sz w:val="32"/>
          <w:szCs w:val="32"/>
          <w:u w:val="none"/>
        </w:rPr>
        <w:t>凭证</w:t>
      </w:r>
      <w:r>
        <w:rPr>
          <w:rFonts w:hint="eastAsia" w:ascii="仿宋_GB2312" w:hAnsi="仿宋_GB2312" w:eastAsia="仿宋_GB2312" w:cs="仿宋_GB2312"/>
          <w:color w:val="000000"/>
          <w:sz w:val="32"/>
          <w:szCs w:val="32"/>
          <w:u w:val="none"/>
          <w:lang w:eastAsia="zh-CN"/>
        </w:rPr>
        <w:t>图片，等待对账</w:t>
      </w:r>
      <w:r>
        <w:rPr>
          <w:rFonts w:hint="eastAsia" w:ascii="仿宋_GB2312" w:hAnsi="仿宋_GB2312" w:eastAsia="仿宋_GB2312" w:cs="仿宋_GB2312"/>
          <w:color w:val="000000"/>
          <w:sz w:val="32"/>
          <w:szCs w:val="32"/>
          <w:u w:val="none"/>
          <w:lang w:val="en" w:eastAsia="zh-CN"/>
        </w:rPr>
        <w:t>。</w:t>
      </w:r>
    </w:p>
    <w:p>
      <w:pPr>
        <w:numPr>
          <w:ilvl w:val="0"/>
          <w:numId w:val="0"/>
        </w:numPr>
        <w:spacing w:line="600" w:lineRule="exact"/>
        <w:ind w:leftChars="0" w:firstLine="640" w:firstLineChars="200"/>
        <w:rPr>
          <w:rFonts w:hint="eastAsia" w:ascii="仿宋" w:hAnsi="仿宋" w:eastAsia="仿宋" w:cs="仿宋"/>
          <w:color w:val="000000"/>
          <w:sz w:val="32"/>
          <w:szCs w:val="32"/>
          <w:u w:val="single"/>
        </w:rPr>
      </w:pPr>
    </w:p>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600" w:lineRule="exact"/>
        <w:jc w:val="left"/>
        <w:textAlignment w:val="auto"/>
        <w:rPr>
          <w:rFonts w:hint="eastAsia" w:ascii="仿宋" w:hAnsi="仿宋" w:eastAsia="仿宋" w:cs="黑体"/>
          <w:kern w:val="2"/>
          <w:sz w:val="32"/>
          <w:szCs w:val="32"/>
          <w:lang w:val="en-US" w:eastAsia="zh-CN" w:bidi="ar-SA"/>
        </w:rPr>
      </w:pPr>
    </w:p>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黑体"/>
          <w:kern w:val="2"/>
          <w:sz w:val="32"/>
          <w:szCs w:val="32"/>
          <w:lang w:val="en-US" w:eastAsia="zh-CN" w:bidi="ar-SA"/>
        </w:rPr>
      </w:pPr>
    </w:p>
    <w:p>
      <w:pPr>
        <w:bidi w:val="0"/>
        <w:jc w:val="left"/>
        <w:rPr>
          <w:rFonts w:hint="eastAsia" w:ascii="Calibri" w:hAnsi="Calibri" w:eastAsia="宋体" w:cs="Times New Roman"/>
          <w:kern w:val="2"/>
          <w:sz w:val="21"/>
          <w:szCs w:val="24"/>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DE3F723"/>
    <w:rsid w:val="7FDF0694"/>
    <w:rsid w:val="EB776C4D"/>
    <w:rsid w:val="EFBAF0C3"/>
    <w:rsid w:val="F7F57C2C"/>
    <w:rsid w:val="FBFF7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kylin</cp:lastModifiedBy>
  <dcterms:modified xsi:type="dcterms:W3CDTF">2023-03-24T16:41:43Z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