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招聘岗位及薪酬待遇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9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70"/>
        <w:gridCol w:w="1485"/>
        <w:gridCol w:w="1791"/>
        <w:gridCol w:w="667"/>
        <w:gridCol w:w="1467"/>
        <w:gridCol w:w="105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2020年平均薪酬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  地点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中化学城市投资有限公司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投资发展中心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50万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（薪酬绩效）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纪检监督部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考核审计部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（纪检监督岗）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（考核审计岗）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战略规划部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（战略规划）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（混改并购）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法律合规部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（投资风控、合规审查）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环保事业部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产业开发事业部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35-50万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20-35万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区域中心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40-80万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 xml:space="preserve">西安、西宁重庆、太原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兰州、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榆林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35-50万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高级经理或经理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20-35万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项目公司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40-80万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陕西、山西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四川、重庆 甘肃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项目总包部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指挥长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40-80万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项目公司/项目总包部</w:t>
            </w:r>
          </w:p>
        </w:tc>
        <w:tc>
          <w:tcPr>
            <w:tcW w:w="1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40-80万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35-50万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财务部部长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25-30万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中化学城投建设工程有限公司（筹）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年薪制         （面议）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成都、西安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中层正职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（分管经营）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（分管生产）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  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12-21万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  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12-21万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  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12-21万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成本合约部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  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12-21万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  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12-21万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6C40"/>
    <w:rsid w:val="46C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2021-11-05T06:18:00Z</dcterms:created>
  <dc:creator>殷丰收</dc:creator>
  <cp:lastModifiedBy>殷丰收</cp:lastModifiedBy>
  <dcterms:modified xsi:type="dcterms:W3CDTF">2021-11-05T06:37:48Z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DB88770F8C1E4469A636E4E4A1B661D8</vt:lpwstr>
  </property>
</Properties>
</file>